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CE" w:rsidRDefault="00FA4084">
      <w:pPr>
        <w:jc w:val="center"/>
        <w:rPr>
          <w:b/>
          <w:sz w:val="32"/>
          <w:szCs w:val="32"/>
        </w:rPr>
      </w:pPr>
      <w:bookmarkStart w:id="0" w:name="_GoBack"/>
      <w:bookmarkEnd w:id="0"/>
      <w:r>
        <w:rPr>
          <w:rFonts w:hint="eastAsia"/>
          <w:b/>
          <w:sz w:val="32"/>
          <w:szCs w:val="32"/>
        </w:rPr>
        <w:t>关于对中盐安徽润华盐业发展有限公司</w:t>
      </w:r>
    </w:p>
    <w:p w:rsidR="005A29CE" w:rsidRDefault="00FA4084">
      <w:pPr>
        <w:jc w:val="center"/>
        <w:rPr>
          <w:b/>
          <w:sz w:val="32"/>
          <w:szCs w:val="32"/>
        </w:rPr>
      </w:pPr>
      <w:r>
        <w:rPr>
          <w:rFonts w:hint="eastAsia"/>
          <w:b/>
          <w:sz w:val="32"/>
          <w:szCs w:val="32"/>
        </w:rPr>
        <w:t>股东全部权益价值项目评估报告相关事项的公示</w:t>
      </w:r>
    </w:p>
    <w:p w:rsidR="005A29CE" w:rsidRDefault="005A29CE">
      <w:pPr>
        <w:jc w:val="center"/>
        <w:rPr>
          <w:b/>
          <w:sz w:val="32"/>
          <w:szCs w:val="32"/>
        </w:rPr>
      </w:pPr>
    </w:p>
    <w:p w:rsidR="005A29CE" w:rsidRDefault="00FA4084">
      <w:pPr>
        <w:ind w:firstLineChars="200" w:firstLine="560"/>
        <w:rPr>
          <w:sz w:val="28"/>
          <w:szCs w:val="28"/>
        </w:rPr>
      </w:pPr>
      <w:r>
        <w:rPr>
          <w:rFonts w:hint="eastAsia"/>
          <w:sz w:val="28"/>
          <w:szCs w:val="28"/>
        </w:rPr>
        <w:t>中盐</w:t>
      </w:r>
      <w:r>
        <w:rPr>
          <w:sz w:val="28"/>
          <w:szCs w:val="28"/>
        </w:rPr>
        <w:t>安徽盐化集团</w:t>
      </w:r>
      <w:r>
        <w:rPr>
          <w:rFonts w:hint="eastAsia"/>
          <w:sz w:val="28"/>
          <w:szCs w:val="28"/>
        </w:rPr>
        <w:t>股份有限公司拟对中盐安徽润华盐业发展有限公司实行增资扩股，为此中盐集团</w:t>
      </w:r>
      <w:r>
        <w:rPr>
          <w:sz w:val="28"/>
          <w:szCs w:val="28"/>
        </w:rPr>
        <w:t>公司</w:t>
      </w:r>
      <w:r>
        <w:rPr>
          <w:rFonts w:hint="eastAsia"/>
          <w:sz w:val="28"/>
          <w:szCs w:val="28"/>
        </w:rPr>
        <w:t>组织</w:t>
      </w:r>
      <w:r>
        <w:rPr>
          <w:sz w:val="28"/>
          <w:szCs w:val="28"/>
        </w:rPr>
        <w:t>竞争性谈判</w:t>
      </w:r>
      <w:r>
        <w:rPr>
          <w:rFonts w:hint="eastAsia"/>
          <w:sz w:val="28"/>
          <w:szCs w:val="28"/>
        </w:rPr>
        <w:t>方式确定北京国融兴华资产评估有限责任公司进行本次增资所涉及到的资产评估并出具相关报告，现就有关事项公示如下：</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885"/>
      </w:tblGrid>
      <w:tr w:rsidR="005A29CE">
        <w:tc>
          <w:tcPr>
            <w:tcW w:w="1728" w:type="dxa"/>
            <w:shd w:val="clear" w:color="auto" w:fill="auto"/>
            <w:vAlign w:val="center"/>
          </w:tcPr>
          <w:p w:rsidR="005A29CE" w:rsidRDefault="00FA4084">
            <w:pPr>
              <w:jc w:val="center"/>
              <w:rPr>
                <w:sz w:val="28"/>
                <w:szCs w:val="28"/>
              </w:rPr>
            </w:pPr>
            <w:r>
              <w:rPr>
                <w:rFonts w:hint="eastAsia"/>
                <w:sz w:val="28"/>
                <w:szCs w:val="28"/>
              </w:rPr>
              <w:t>项目名称</w:t>
            </w:r>
          </w:p>
        </w:tc>
        <w:tc>
          <w:tcPr>
            <w:tcW w:w="6885" w:type="dxa"/>
            <w:shd w:val="clear" w:color="auto" w:fill="auto"/>
            <w:vAlign w:val="center"/>
          </w:tcPr>
          <w:p w:rsidR="005A29CE" w:rsidRDefault="00FA4084">
            <w:pPr>
              <w:jc w:val="center"/>
              <w:rPr>
                <w:sz w:val="28"/>
                <w:szCs w:val="28"/>
              </w:rPr>
            </w:pPr>
            <w:r>
              <w:rPr>
                <w:rFonts w:hint="eastAsia"/>
                <w:sz w:val="28"/>
                <w:szCs w:val="28"/>
              </w:rPr>
              <w:t>中盐安徽润华盐业发展有限公司股东全部权益价值</w:t>
            </w:r>
          </w:p>
          <w:p w:rsidR="005A29CE" w:rsidRDefault="00FA4084">
            <w:pPr>
              <w:jc w:val="center"/>
              <w:rPr>
                <w:sz w:val="28"/>
                <w:szCs w:val="28"/>
              </w:rPr>
            </w:pPr>
            <w:r>
              <w:rPr>
                <w:rFonts w:hint="eastAsia"/>
                <w:sz w:val="28"/>
                <w:szCs w:val="28"/>
              </w:rPr>
              <w:t>项目评估报告</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报告编号</w:t>
            </w:r>
          </w:p>
        </w:tc>
        <w:tc>
          <w:tcPr>
            <w:tcW w:w="6885" w:type="dxa"/>
            <w:shd w:val="clear" w:color="auto" w:fill="auto"/>
            <w:vAlign w:val="center"/>
          </w:tcPr>
          <w:p w:rsidR="005A29CE" w:rsidRDefault="00FA4084">
            <w:pPr>
              <w:jc w:val="center"/>
              <w:rPr>
                <w:sz w:val="28"/>
                <w:szCs w:val="28"/>
              </w:rPr>
            </w:pPr>
            <w:r>
              <w:rPr>
                <w:rFonts w:hint="eastAsia"/>
                <w:sz w:val="28"/>
                <w:szCs w:val="28"/>
              </w:rPr>
              <w:t>国融兴华评报字</w:t>
            </w:r>
            <w:r>
              <w:rPr>
                <w:rFonts w:hint="eastAsia"/>
                <w:sz w:val="28"/>
                <w:szCs w:val="28"/>
              </w:rPr>
              <w:t>[2018]</w:t>
            </w:r>
            <w:r>
              <w:rPr>
                <w:rFonts w:hint="eastAsia"/>
                <w:sz w:val="28"/>
                <w:szCs w:val="28"/>
              </w:rPr>
              <w:t>第</w:t>
            </w:r>
            <w:r>
              <w:rPr>
                <w:rFonts w:hint="eastAsia"/>
                <w:sz w:val="28"/>
                <w:szCs w:val="28"/>
              </w:rPr>
              <w:t>010366</w:t>
            </w:r>
            <w:r>
              <w:rPr>
                <w:rFonts w:hint="eastAsia"/>
                <w:sz w:val="28"/>
                <w:szCs w:val="28"/>
              </w:rPr>
              <w:t>号</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委托人及产权持有单位</w:t>
            </w:r>
          </w:p>
        </w:tc>
        <w:tc>
          <w:tcPr>
            <w:tcW w:w="6885" w:type="dxa"/>
            <w:shd w:val="clear" w:color="auto" w:fill="auto"/>
            <w:vAlign w:val="center"/>
          </w:tcPr>
          <w:p w:rsidR="005A29CE" w:rsidRDefault="00FA4084" w:rsidP="00475776">
            <w:pPr>
              <w:rPr>
                <w:sz w:val="28"/>
                <w:szCs w:val="28"/>
              </w:rPr>
            </w:pPr>
            <w:r>
              <w:rPr>
                <w:sz w:val="28"/>
                <w:szCs w:val="28"/>
              </w:rPr>
              <w:t>中盐安徽盐化集团股份有限公司</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其他报告使用者</w:t>
            </w:r>
          </w:p>
        </w:tc>
        <w:tc>
          <w:tcPr>
            <w:tcW w:w="6885" w:type="dxa"/>
            <w:shd w:val="clear" w:color="auto" w:fill="auto"/>
            <w:vAlign w:val="center"/>
          </w:tcPr>
          <w:p w:rsidR="005A29CE" w:rsidRDefault="00FA4084">
            <w:pPr>
              <w:jc w:val="center"/>
              <w:rPr>
                <w:sz w:val="28"/>
                <w:szCs w:val="28"/>
              </w:rPr>
            </w:pPr>
            <w:r>
              <w:rPr>
                <w:rFonts w:hint="eastAsia"/>
                <w:sz w:val="28"/>
                <w:szCs w:val="28"/>
              </w:rPr>
              <w:t>资产评估委托合同中约定的其他报告使用者，及根据国家法律、法规规定的报告使用者，为本报告的合法使用者。</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评估目的</w:t>
            </w:r>
          </w:p>
        </w:tc>
        <w:tc>
          <w:tcPr>
            <w:tcW w:w="6885" w:type="dxa"/>
            <w:shd w:val="clear" w:color="auto" w:fill="auto"/>
            <w:vAlign w:val="center"/>
          </w:tcPr>
          <w:p w:rsidR="005A29CE" w:rsidRDefault="00FA4084">
            <w:pPr>
              <w:jc w:val="center"/>
              <w:rPr>
                <w:sz w:val="28"/>
                <w:szCs w:val="28"/>
              </w:rPr>
            </w:pPr>
            <w:r>
              <w:rPr>
                <w:rFonts w:hint="eastAsia"/>
                <w:sz w:val="28"/>
                <w:szCs w:val="28"/>
              </w:rPr>
              <w:t>中盐安徽润华盐业发展有限公司拟进行增资扩股，本</w:t>
            </w:r>
            <w:r>
              <w:rPr>
                <w:rFonts w:hint="eastAsia"/>
                <w:sz w:val="28"/>
                <w:szCs w:val="28"/>
              </w:rPr>
              <w:lastRenderedPageBreak/>
              <w:t>次评估即为该经济行为所涉及的中盐安徽</w:t>
            </w:r>
            <w:r>
              <w:rPr>
                <w:sz w:val="28"/>
                <w:szCs w:val="28"/>
              </w:rPr>
              <w:t>润华盐业发展</w:t>
            </w:r>
            <w:r>
              <w:rPr>
                <w:rFonts w:hint="eastAsia"/>
                <w:sz w:val="28"/>
                <w:szCs w:val="28"/>
              </w:rPr>
              <w:t>有限公司于基准日的股东全部权益提供价值参考依据。</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lastRenderedPageBreak/>
              <w:t>评估对象</w:t>
            </w:r>
          </w:p>
        </w:tc>
        <w:tc>
          <w:tcPr>
            <w:tcW w:w="6885" w:type="dxa"/>
            <w:shd w:val="clear" w:color="auto" w:fill="auto"/>
            <w:vAlign w:val="center"/>
          </w:tcPr>
          <w:p w:rsidR="005A29CE" w:rsidRDefault="00FA4084">
            <w:pPr>
              <w:jc w:val="center"/>
              <w:rPr>
                <w:sz w:val="28"/>
                <w:szCs w:val="28"/>
              </w:rPr>
            </w:pPr>
            <w:r>
              <w:rPr>
                <w:rFonts w:hint="eastAsia"/>
                <w:sz w:val="28"/>
                <w:szCs w:val="28"/>
              </w:rPr>
              <w:t>中盐安徽润华盐业发展有限公司股东全部权益价值。</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评估范围</w:t>
            </w:r>
          </w:p>
        </w:tc>
        <w:tc>
          <w:tcPr>
            <w:tcW w:w="6885" w:type="dxa"/>
            <w:shd w:val="clear" w:color="auto" w:fill="auto"/>
            <w:vAlign w:val="center"/>
          </w:tcPr>
          <w:p w:rsidR="005A29CE" w:rsidRDefault="00FA4084">
            <w:pPr>
              <w:jc w:val="center"/>
              <w:rPr>
                <w:sz w:val="28"/>
                <w:szCs w:val="28"/>
              </w:rPr>
            </w:pPr>
            <w:r>
              <w:rPr>
                <w:rFonts w:hint="eastAsia"/>
                <w:sz w:val="28"/>
                <w:szCs w:val="28"/>
              </w:rPr>
              <w:t>评估范围包括流动资产、固定资产、在建工程、无形资产、长期待摊费用、递延所得税资产、其他非流动资产及负债等。资产评估申报表列示的账面净资产为</w:t>
            </w:r>
            <w:r>
              <w:rPr>
                <w:rFonts w:hint="eastAsia"/>
                <w:sz w:val="28"/>
                <w:szCs w:val="28"/>
              </w:rPr>
              <w:t>2432270.46</w:t>
            </w:r>
            <w:r>
              <w:rPr>
                <w:rFonts w:hint="eastAsia"/>
                <w:sz w:val="28"/>
                <w:szCs w:val="28"/>
              </w:rPr>
              <w:t>元。</w:t>
            </w:r>
          </w:p>
        </w:tc>
      </w:tr>
      <w:tr w:rsidR="005A29CE">
        <w:tc>
          <w:tcPr>
            <w:tcW w:w="1728" w:type="dxa"/>
            <w:shd w:val="clear" w:color="auto" w:fill="auto"/>
            <w:vAlign w:val="center"/>
          </w:tcPr>
          <w:p w:rsidR="005A29CE" w:rsidRDefault="00FA4084">
            <w:pPr>
              <w:jc w:val="center"/>
              <w:rPr>
                <w:sz w:val="28"/>
                <w:szCs w:val="28"/>
              </w:rPr>
            </w:pPr>
            <w:r>
              <w:rPr>
                <w:rFonts w:hint="eastAsia"/>
                <w:sz w:val="28"/>
                <w:szCs w:val="28"/>
              </w:rPr>
              <w:t>价值类型</w:t>
            </w:r>
          </w:p>
        </w:tc>
        <w:tc>
          <w:tcPr>
            <w:tcW w:w="6885" w:type="dxa"/>
            <w:shd w:val="clear" w:color="auto" w:fill="auto"/>
            <w:vAlign w:val="center"/>
          </w:tcPr>
          <w:p w:rsidR="005A29CE" w:rsidRDefault="00FA4084">
            <w:pPr>
              <w:jc w:val="center"/>
              <w:rPr>
                <w:sz w:val="28"/>
                <w:szCs w:val="28"/>
              </w:rPr>
            </w:pPr>
            <w:r>
              <w:rPr>
                <w:rFonts w:hint="eastAsia"/>
                <w:sz w:val="28"/>
                <w:szCs w:val="28"/>
              </w:rPr>
              <w:t>市场价值</w:t>
            </w:r>
          </w:p>
        </w:tc>
      </w:tr>
      <w:tr w:rsidR="005A29CE">
        <w:trPr>
          <w:trHeight w:val="615"/>
        </w:trPr>
        <w:tc>
          <w:tcPr>
            <w:tcW w:w="1728" w:type="dxa"/>
            <w:shd w:val="clear" w:color="auto" w:fill="auto"/>
            <w:vAlign w:val="center"/>
          </w:tcPr>
          <w:p w:rsidR="005A29CE" w:rsidRDefault="00FA4084">
            <w:pPr>
              <w:jc w:val="center"/>
              <w:rPr>
                <w:sz w:val="28"/>
                <w:szCs w:val="28"/>
              </w:rPr>
            </w:pPr>
            <w:r>
              <w:rPr>
                <w:rFonts w:hint="eastAsia"/>
                <w:sz w:val="28"/>
                <w:szCs w:val="28"/>
              </w:rPr>
              <w:t>评估基准日</w:t>
            </w:r>
          </w:p>
        </w:tc>
        <w:tc>
          <w:tcPr>
            <w:tcW w:w="6885" w:type="dxa"/>
            <w:shd w:val="clear" w:color="auto" w:fill="auto"/>
            <w:vAlign w:val="center"/>
          </w:tcPr>
          <w:p w:rsidR="005A29CE" w:rsidRDefault="00FA4084">
            <w:pPr>
              <w:jc w:val="center"/>
              <w:rPr>
                <w:sz w:val="28"/>
                <w:szCs w:val="28"/>
              </w:rPr>
            </w:pPr>
            <w:r>
              <w:rPr>
                <w:rFonts w:hint="eastAsia"/>
                <w:sz w:val="28"/>
                <w:szCs w:val="28"/>
              </w:rPr>
              <w:t>2018</w:t>
            </w:r>
            <w:r>
              <w:rPr>
                <w:rFonts w:hint="eastAsia"/>
                <w:sz w:val="28"/>
                <w:szCs w:val="28"/>
              </w:rPr>
              <w:t>年</w:t>
            </w:r>
            <w:r>
              <w:rPr>
                <w:rFonts w:hint="eastAsia"/>
                <w:sz w:val="28"/>
                <w:szCs w:val="28"/>
              </w:rPr>
              <w:t>9</w:t>
            </w:r>
            <w:r>
              <w:rPr>
                <w:rFonts w:hint="eastAsia"/>
                <w:sz w:val="28"/>
                <w:szCs w:val="28"/>
              </w:rPr>
              <w:t>月</w:t>
            </w:r>
            <w:r>
              <w:rPr>
                <w:rFonts w:hint="eastAsia"/>
                <w:sz w:val="28"/>
                <w:szCs w:val="28"/>
              </w:rPr>
              <w:t>30</w:t>
            </w:r>
            <w:r>
              <w:rPr>
                <w:rFonts w:hint="eastAsia"/>
                <w:sz w:val="28"/>
                <w:szCs w:val="28"/>
              </w:rPr>
              <w:t>日</w:t>
            </w:r>
          </w:p>
        </w:tc>
      </w:tr>
      <w:tr w:rsidR="005A29CE">
        <w:trPr>
          <w:trHeight w:val="300"/>
        </w:trPr>
        <w:tc>
          <w:tcPr>
            <w:tcW w:w="1728" w:type="dxa"/>
            <w:shd w:val="clear" w:color="auto" w:fill="auto"/>
            <w:vAlign w:val="center"/>
          </w:tcPr>
          <w:p w:rsidR="005A29CE" w:rsidRDefault="00FA4084">
            <w:pPr>
              <w:jc w:val="center"/>
              <w:rPr>
                <w:sz w:val="28"/>
                <w:szCs w:val="28"/>
              </w:rPr>
            </w:pPr>
            <w:r>
              <w:rPr>
                <w:rFonts w:hint="eastAsia"/>
                <w:sz w:val="28"/>
                <w:szCs w:val="28"/>
              </w:rPr>
              <w:t>评估方法</w:t>
            </w:r>
          </w:p>
        </w:tc>
        <w:tc>
          <w:tcPr>
            <w:tcW w:w="6885" w:type="dxa"/>
            <w:shd w:val="clear" w:color="auto" w:fill="auto"/>
            <w:vAlign w:val="center"/>
          </w:tcPr>
          <w:p w:rsidR="005A29CE" w:rsidRDefault="00FA4084">
            <w:pPr>
              <w:jc w:val="center"/>
              <w:rPr>
                <w:sz w:val="28"/>
                <w:szCs w:val="28"/>
              </w:rPr>
            </w:pPr>
            <w:r>
              <w:rPr>
                <w:rFonts w:hint="eastAsia"/>
                <w:sz w:val="28"/>
                <w:szCs w:val="28"/>
              </w:rPr>
              <w:t>收益法</w:t>
            </w:r>
          </w:p>
        </w:tc>
      </w:tr>
      <w:tr w:rsidR="005A29CE">
        <w:trPr>
          <w:trHeight w:val="315"/>
        </w:trPr>
        <w:tc>
          <w:tcPr>
            <w:tcW w:w="1728" w:type="dxa"/>
            <w:shd w:val="clear" w:color="auto" w:fill="auto"/>
            <w:vAlign w:val="center"/>
          </w:tcPr>
          <w:p w:rsidR="005A29CE" w:rsidRDefault="00FA4084">
            <w:pPr>
              <w:jc w:val="center"/>
              <w:rPr>
                <w:sz w:val="28"/>
                <w:szCs w:val="28"/>
              </w:rPr>
            </w:pPr>
            <w:r>
              <w:rPr>
                <w:rFonts w:hint="eastAsia"/>
                <w:sz w:val="28"/>
                <w:szCs w:val="28"/>
              </w:rPr>
              <w:t>评估结论</w:t>
            </w:r>
          </w:p>
        </w:tc>
        <w:tc>
          <w:tcPr>
            <w:tcW w:w="6885" w:type="dxa"/>
            <w:shd w:val="clear" w:color="auto" w:fill="auto"/>
            <w:vAlign w:val="center"/>
          </w:tcPr>
          <w:p w:rsidR="005A29CE" w:rsidRDefault="00FA4084">
            <w:pPr>
              <w:jc w:val="center"/>
              <w:rPr>
                <w:sz w:val="28"/>
                <w:szCs w:val="28"/>
              </w:rPr>
            </w:pPr>
            <w:r>
              <w:rPr>
                <w:rFonts w:hint="eastAsia"/>
                <w:sz w:val="28"/>
                <w:szCs w:val="28"/>
              </w:rPr>
              <w:t>经</w:t>
            </w:r>
            <w:r>
              <w:rPr>
                <w:sz w:val="28"/>
                <w:szCs w:val="28"/>
              </w:rPr>
              <w:t>评估</w:t>
            </w:r>
            <w:r>
              <w:rPr>
                <w:rFonts w:hint="eastAsia"/>
                <w:sz w:val="28"/>
                <w:szCs w:val="28"/>
              </w:rPr>
              <w:t>，被评估单位股东全部权益价值为</w:t>
            </w:r>
            <w:r>
              <w:rPr>
                <w:rFonts w:hint="eastAsia"/>
                <w:sz w:val="28"/>
                <w:szCs w:val="28"/>
              </w:rPr>
              <w:t>3151.44</w:t>
            </w:r>
            <w:r>
              <w:rPr>
                <w:rFonts w:hint="eastAsia"/>
                <w:sz w:val="28"/>
                <w:szCs w:val="28"/>
              </w:rPr>
              <w:t>万元。</w:t>
            </w:r>
          </w:p>
        </w:tc>
      </w:tr>
      <w:tr w:rsidR="005A29CE">
        <w:trPr>
          <w:trHeight w:val="1065"/>
        </w:trPr>
        <w:tc>
          <w:tcPr>
            <w:tcW w:w="1728" w:type="dxa"/>
            <w:shd w:val="clear" w:color="auto" w:fill="auto"/>
            <w:vAlign w:val="center"/>
          </w:tcPr>
          <w:p w:rsidR="005A29CE" w:rsidRDefault="00FA4084">
            <w:pPr>
              <w:jc w:val="center"/>
              <w:rPr>
                <w:sz w:val="28"/>
                <w:szCs w:val="28"/>
              </w:rPr>
            </w:pPr>
            <w:r>
              <w:rPr>
                <w:rFonts w:hint="eastAsia"/>
                <w:sz w:val="28"/>
                <w:szCs w:val="28"/>
              </w:rPr>
              <w:t>评估结论使用有限期</w:t>
            </w:r>
          </w:p>
        </w:tc>
        <w:tc>
          <w:tcPr>
            <w:tcW w:w="6885" w:type="dxa"/>
            <w:shd w:val="clear" w:color="auto" w:fill="auto"/>
            <w:vAlign w:val="center"/>
          </w:tcPr>
          <w:p w:rsidR="005A29CE" w:rsidRDefault="00FA4084">
            <w:pPr>
              <w:jc w:val="center"/>
              <w:rPr>
                <w:sz w:val="28"/>
                <w:szCs w:val="28"/>
              </w:rPr>
            </w:pPr>
            <w:r>
              <w:rPr>
                <w:rFonts w:hint="eastAsia"/>
                <w:sz w:val="28"/>
                <w:szCs w:val="28"/>
              </w:rPr>
              <w:t>为评估基准日起壹年，即有效期截至</w:t>
            </w:r>
            <w:r>
              <w:rPr>
                <w:rFonts w:hint="eastAsia"/>
                <w:sz w:val="28"/>
                <w:szCs w:val="28"/>
              </w:rPr>
              <w:t>2019</w:t>
            </w:r>
            <w:r>
              <w:rPr>
                <w:rFonts w:hint="eastAsia"/>
                <w:sz w:val="28"/>
                <w:szCs w:val="28"/>
              </w:rPr>
              <w:t>年</w:t>
            </w:r>
            <w:r>
              <w:rPr>
                <w:sz w:val="28"/>
                <w:szCs w:val="28"/>
              </w:rPr>
              <w:t>9</w:t>
            </w:r>
            <w:r>
              <w:rPr>
                <w:rFonts w:hint="eastAsia"/>
                <w:sz w:val="28"/>
                <w:szCs w:val="28"/>
              </w:rPr>
              <w:t>月</w:t>
            </w:r>
            <w:r>
              <w:rPr>
                <w:rFonts w:hint="eastAsia"/>
                <w:sz w:val="28"/>
                <w:szCs w:val="28"/>
              </w:rPr>
              <w:t>29</w:t>
            </w:r>
            <w:r>
              <w:rPr>
                <w:rFonts w:hint="eastAsia"/>
                <w:sz w:val="28"/>
                <w:szCs w:val="28"/>
              </w:rPr>
              <w:t>日。。</w:t>
            </w:r>
          </w:p>
        </w:tc>
      </w:tr>
      <w:tr w:rsidR="005A29CE">
        <w:trPr>
          <w:trHeight w:val="168"/>
        </w:trPr>
        <w:tc>
          <w:tcPr>
            <w:tcW w:w="1728" w:type="dxa"/>
            <w:shd w:val="clear" w:color="auto" w:fill="auto"/>
            <w:vAlign w:val="center"/>
          </w:tcPr>
          <w:p w:rsidR="005A29CE" w:rsidRDefault="00FA4084">
            <w:pPr>
              <w:jc w:val="center"/>
              <w:rPr>
                <w:sz w:val="28"/>
                <w:szCs w:val="28"/>
              </w:rPr>
            </w:pPr>
            <w:r>
              <w:rPr>
                <w:rFonts w:hint="eastAsia"/>
                <w:sz w:val="28"/>
                <w:szCs w:val="28"/>
              </w:rPr>
              <w:t>其他</w:t>
            </w:r>
          </w:p>
        </w:tc>
        <w:tc>
          <w:tcPr>
            <w:tcW w:w="6885" w:type="dxa"/>
            <w:shd w:val="clear" w:color="auto" w:fill="auto"/>
            <w:vAlign w:val="center"/>
          </w:tcPr>
          <w:p w:rsidR="005A29CE" w:rsidRDefault="00FA4084">
            <w:pPr>
              <w:jc w:val="center"/>
              <w:rPr>
                <w:sz w:val="28"/>
                <w:szCs w:val="28"/>
              </w:rPr>
            </w:pPr>
            <w:r>
              <w:rPr>
                <w:rFonts w:hint="eastAsia"/>
                <w:sz w:val="28"/>
                <w:szCs w:val="28"/>
              </w:rPr>
              <w:t>资产评估师：杨瑞嘉（注册评估师编号：</w:t>
            </w:r>
            <w:r>
              <w:rPr>
                <w:rFonts w:hint="eastAsia"/>
                <w:sz w:val="28"/>
                <w:szCs w:val="28"/>
              </w:rPr>
              <w:t>11020123</w:t>
            </w:r>
            <w:r>
              <w:rPr>
                <w:rFonts w:hint="eastAsia"/>
                <w:sz w:val="28"/>
                <w:szCs w:val="28"/>
              </w:rPr>
              <w:t>），袁魏（注册评估师编号：</w:t>
            </w:r>
            <w:r>
              <w:rPr>
                <w:rFonts w:hint="eastAsia"/>
                <w:sz w:val="28"/>
                <w:szCs w:val="28"/>
              </w:rPr>
              <w:t>23000232</w:t>
            </w:r>
            <w:r>
              <w:rPr>
                <w:rFonts w:hint="eastAsia"/>
                <w:sz w:val="28"/>
                <w:szCs w:val="28"/>
              </w:rPr>
              <w:t>）。</w:t>
            </w:r>
          </w:p>
        </w:tc>
      </w:tr>
      <w:tr w:rsidR="005A29CE">
        <w:tc>
          <w:tcPr>
            <w:tcW w:w="8613" w:type="dxa"/>
            <w:gridSpan w:val="2"/>
            <w:tcBorders>
              <w:left w:val="nil"/>
              <w:bottom w:val="nil"/>
              <w:right w:val="nil"/>
            </w:tcBorders>
            <w:shd w:val="clear" w:color="auto" w:fill="auto"/>
          </w:tcPr>
          <w:p w:rsidR="005A29CE" w:rsidRDefault="00FA4084">
            <w:pPr>
              <w:rPr>
                <w:sz w:val="28"/>
                <w:szCs w:val="28"/>
              </w:rPr>
            </w:pPr>
            <w:r>
              <w:rPr>
                <w:rFonts w:hint="eastAsia"/>
                <w:sz w:val="28"/>
                <w:szCs w:val="28"/>
              </w:rPr>
              <w:lastRenderedPageBreak/>
              <w:t>凡对以上评估结果有异议者请在公示之日起五日内向中盐安徽</w:t>
            </w:r>
            <w:r>
              <w:rPr>
                <w:sz w:val="28"/>
                <w:szCs w:val="28"/>
              </w:rPr>
              <w:t>盐化集团公司</w:t>
            </w:r>
            <w:r>
              <w:rPr>
                <w:rFonts w:hint="eastAsia"/>
                <w:sz w:val="28"/>
                <w:szCs w:val="28"/>
              </w:rPr>
              <w:t>反映。</w:t>
            </w:r>
          </w:p>
          <w:p w:rsidR="005A29CE" w:rsidRDefault="00FA4084">
            <w:pPr>
              <w:rPr>
                <w:sz w:val="28"/>
                <w:szCs w:val="28"/>
              </w:rPr>
            </w:pPr>
            <w:r>
              <w:rPr>
                <w:rFonts w:hint="eastAsia"/>
                <w:sz w:val="28"/>
                <w:szCs w:val="28"/>
              </w:rPr>
              <w:t>联系人及电话：汪斌</w:t>
            </w:r>
            <w:r>
              <w:rPr>
                <w:rFonts w:hint="eastAsia"/>
                <w:sz w:val="28"/>
                <w:szCs w:val="28"/>
              </w:rPr>
              <w:t xml:space="preserve"> 0551-64285180</w:t>
            </w:r>
          </w:p>
          <w:p w:rsidR="005A29CE" w:rsidRDefault="00FA4084">
            <w:pPr>
              <w:rPr>
                <w:sz w:val="28"/>
                <w:szCs w:val="28"/>
              </w:rPr>
            </w:pPr>
            <w:r>
              <w:rPr>
                <w:rFonts w:hint="eastAsia"/>
                <w:sz w:val="28"/>
                <w:szCs w:val="28"/>
              </w:rPr>
              <w:t>特此公示</w:t>
            </w:r>
          </w:p>
          <w:p w:rsidR="005A29CE" w:rsidRDefault="005A29CE">
            <w:pPr>
              <w:rPr>
                <w:sz w:val="28"/>
                <w:szCs w:val="28"/>
              </w:rPr>
            </w:pPr>
          </w:p>
          <w:p w:rsidR="005A29CE" w:rsidRDefault="00FA4084">
            <w:pPr>
              <w:jc w:val="right"/>
              <w:rPr>
                <w:sz w:val="28"/>
                <w:szCs w:val="28"/>
              </w:rPr>
            </w:pPr>
            <w:r>
              <w:rPr>
                <w:rFonts w:hint="eastAsia"/>
                <w:sz w:val="28"/>
                <w:szCs w:val="28"/>
              </w:rPr>
              <w:t>中盐安徽</w:t>
            </w:r>
            <w:r>
              <w:rPr>
                <w:sz w:val="28"/>
                <w:szCs w:val="28"/>
              </w:rPr>
              <w:t>盐化集团股份有限公司</w:t>
            </w:r>
          </w:p>
          <w:p w:rsidR="005A29CE" w:rsidRDefault="00FA4084">
            <w:pPr>
              <w:jc w:val="right"/>
              <w:rPr>
                <w:sz w:val="28"/>
                <w:szCs w:val="28"/>
              </w:rPr>
            </w:pPr>
            <w:r>
              <w:rPr>
                <w:rFonts w:hint="eastAsia"/>
                <w:sz w:val="28"/>
                <w:szCs w:val="28"/>
              </w:rPr>
              <w:t>2019</w:t>
            </w:r>
            <w:r>
              <w:rPr>
                <w:rFonts w:hint="eastAsia"/>
                <w:sz w:val="28"/>
                <w:szCs w:val="28"/>
              </w:rPr>
              <w:t>年</w:t>
            </w:r>
            <w:r>
              <w:rPr>
                <w:rFonts w:hint="eastAsia"/>
                <w:sz w:val="28"/>
                <w:szCs w:val="28"/>
              </w:rPr>
              <w:t>5</w:t>
            </w:r>
            <w:r>
              <w:rPr>
                <w:rFonts w:hint="eastAsia"/>
                <w:sz w:val="28"/>
                <w:szCs w:val="28"/>
              </w:rPr>
              <w:t>月</w:t>
            </w:r>
            <w:r>
              <w:rPr>
                <w:rFonts w:hint="eastAsia"/>
                <w:sz w:val="28"/>
                <w:szCs w:val="28"/>
              </w:rPr>
              <w:t>28</w:t>
            </w:r>
            <w:r>
              <w:rPr>
                <w:rFonts w:hint="eastAsia"/>
                <w:sz w:val="28"/>
                <w:szCs w:val="28"/>
              </w:rPr>
              <w:t>日</w:t>
            </w:r>
          </w:p>
          <w:p w:rsidR="005A29CE" w:rsidRDefault="005A29CE">
            <w:pPr>
              <w:rPr>
                <w:sz w:val="28"/>
                <w:szCs w:val="28"/>
              </w:rPr>
            </w:pPr>
          </w:p>
        </w:tc>
      </w:tr>
    </w:tbl>
    <w:p w:rsidR="005A29CE" w:rsidRDefault="00FA4084">
      <w:pPr>
        <w:ind w:firstLineChars="200" w:firstLine="560"/>
        <w:rPr>
          <w:sz w:val="28"/>
          <w:szCs w:val="28"/>
        </w:rPr>
      </w:pPr>
      <w:r>
        <w:rPr>
          <w:rFonts w:hint="eastAsia"/>
          <w:sz w:val="28"/>
          <w:szCs w:val="28"/>
        </w:rPr>
        <w:t xml:space="preserve"> </w:t>
      </w:r>
    </w:p>
    <w:p w:rsidR="005A29CE" w:rsidRDefault="005A29CE">
      <w:pPr>
        <w:rPr>
          <w:rFonts w:ascii="宋体" w:hAnsi="宋体" w:cs="宋体"/>
          <w:sz w:val="28"/>
          <w:szCs w:val="28"/>
        </w:rPr>
      </w:pPr>
    </w:p>
    <w:sectPr w:rsidR="005A29C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B2" w:rsidRDefault="007C7EB2" w:rsidP="00475776">
      <w:r>
        <w:separator/>
      </w:r>
    </w:p>
  </w:endnote>
  <w:endnote w:type="continuationSeparator" w:id="0">
    <w:p w:rsidR="007C7EB2" w:rsidRDefault="007C7EB2" w:rsidP="0047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B2" w:rsidRDefault="007C7EB2" w:rsidP="00475776">
      <w:r>
        <w:separator/>
      </w:r>
    </w:p>
  </w:footnote>
  <w:footnote w:type="continuationSeparator" w:id="0">
    <w:p w:rsidR="007C7EB2" w:rsidRDefault="007C7EB2" w:rsidP="0047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rsidP="00475776">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776" w:rsidRDefault="004757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CE"/>
    <w:rsid w:val="00475776"/>
    <w:rsid w:val="005A29CE"/>
    <w:rsid w:val="007C7EB2"/>
    <w:rsid w:val="00F344EA"/>
    <w:rsid w:val="00FA4084"/>
    <w:rsid w:val="4BE4327B"/>
    <w:rsid w:val="609946FB"/>
    <w:rsid w:val="73553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6B5634-B291-457C-8121-EEC5577F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7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75776"/>
    <w:rPr>
      <w:kern w:val="2"/>
      <w:sz w:val="18"/>
      <w:szCs w:val="18"/>
    </w:rPr>
  </w:style>
  <w:style w:type="paragraph" w:styleId="a4">
    <w:name w:val="footer"/>
    <w:basedOn w:val="a"/>
    <w:link w:val="Char0"/>
    <w:rsid w:val="00475776"/>
    <w:pPr>
      <w:tabs>
        <w:tab w:val="center" w:pos="4153"/>
        <w:tab w:val="right" w:pos="8306"/>
      </w:tabs>
      <w:snapToGrid w:val="0"/>
      <w:jc w:val="left"/>
    </w:pPr>
    <w:rPr>
      <w:sz w:val="18"/>
      <w:szCs w:val="18"/>
    </w:rPr>
  </w:style>
  <w:style w:type="character" w:customStyle="1" w:styleId="Char0">
    <w:name w:val="页脚 Char"/>
    <w:basedOn w:val="a0"/>
    <w:link w:val="a4"/>
    <w:rsid w:val="0047577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Words>
  <Characters>648</Characters>
  <Application>Microsoft Office Word</Application>
  <DocSecurity>0</DocSecurity>
  <Lines>5</Lines>
  <Paragraphs>1</Paragraphs>
  <ScaleCrop>false</ScaleCrop>
  <Company>Sky123.Org</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姜梅生</cp:lastModifiedBy>
  <cp:revision>2</cp:revision>
  <dcterms:created xsi:type="dcterms:W3CDTF">2019-05-28T00:54:00Z</dcterms:created>
  <dcterms:modified xsi:type="dcterms:W3CDTF">2019-05-28T00:54:00Z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