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10" w:rsidRDefault="006E619F" w:rsidP="00C16968">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w:t>
      </w:r>
      <w:r w:rsidR="00EA73AC">
        <w:rPr>
          <w:rFonts w:ascii="方正小标宋简体" w:eastAsia="方正小标宋简体" w:hint="eastAsia"/>
          <w:sz w:val="32"/>
          <w:szCs w:val="32"/>
        </w:rPr>
        <w:t>对</w:t>
      </w:r>
      <w:r w:rsidR="00A26667" w:rsidRPr="00A26667">
        <w:rPr>
          <w:rFonts w:ascii="方正小标宋简体" w:eastAsia="方正小标宋简体" w:hint="eastAsia"/>
          <w:sz w:val="32"/>
          <w:szCs w:val="32"/>
        </w:rPr>
        <w:t>中盐</w:t>
      </w:r>
      <w:r w:rsidR="00C16968">
        <w:rPr>
          <w:rFonts w:ascii="方正小标宋简体" w:eastAsia="方正小标宋简体" w:hint="eastAsia"/>
          <w:sz w:val="32"/>
          <w:szCs w:val="32"/>
        </w:rPr>
        <w:t>吉兰泰盐化集团有限公司拟处置报废资产</w:t>
      </w:r>
    </w:p>
    <w:p w:rsidR="00C16968" w:rsidRDefault="00C16968" w:rsidP="00C16968">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所涉及的中盐吉兰泰盐化集团有限公司</w:t>
      </w:r>
    </w:p>
    <w:p w:rsidR="006752DC" w:rsidRDefault="00C16968" w:rsidP="00C16968">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单项资产价值</w:t>
      </w:r>
      <w:r w:rsidR="00A26667" w:rsidRPr="00A26667">
        <w:rPr>
          <w:rFonts w:ascii="方正小标宋简体" w:eastAsia="方正小标宋简体" w:hint="eastAsia"/>
          <w:sz w:val="32"/>
          <w:szCs w:val="32"/>
        </w:rPr>
        <w:t>资产评估报告</w:t>
      </w:r>
      <w:r w:rsidR="00B5498A">
        <w:rPr>
          <w:rFonts w:ascii="方正小标宋简体" w:eastAsia="方正小标宋简体" w:hint="eastAsia"/>
          <w:sz w:val="32"/>
          <w:szCs w:val="32"/>
        </w:rPr>
        <w:t>的公示</w:t>
      </w:r>
    </w:p>
    <w:p w:rsidR="00485E70" w:rsidRDefault="00485E70" w:rsidP="00485E70">
      <w:pPr>
        <w:spacing w:line="520" w:lineRule="exact"/>
        <w:rPr>
          <w:rFonts w:ascii="方正小标宋简体" w:eastAsia="方正小标宋简体"/>
          <w:sz w:val="32"/>
          <w:szCs w:val="32"/>
        </w:rPr>
      </w:pPr>
    </w:p>
    <w:p w:rsidR="00217872" w:rsidRPr="00EA73AC" w:rsidRDefault="00C16968" w:rsidP="00A26667">
      <w:pPr>
        <w:spacing w:line="520" w:lineRule="exact"/>
        <w:ind w:firstLineChars="200" w:firstLine="600"/>
        <w:rPr>
          <w:rFonts w:ascii="仿宋_GB2312" w:eastAsia="仿宋_GB2312"/>
          <w:sz w:val="30"/>
          <w:szCs w:val="30"/>
        </w:rPr>
      </w:pPr>
      <w:r>
        <w:rPr>
          <w:rFonts w:ascii="仿宋_GB2312" w:eastAsia="仿宋_GB2312" w:hint="eastAsia"/>
          <w:sz w:val="30"/>
          <w:szCs w:val="30"/>
        </w:rPr>
        <w:t>中盐吉兰泰盐化集团有限公司拟对报废资产进行处置</w:t>
      </w:r>
      <w:r w:rsidR="00A26667" w:rsidRPr="00A26667">
        <w:rPr>
          <w:rFonts w:ascii="仿宋_GB2312" w:eastAsia="仿宋_GB2312" w:hint="eastAsia"/>
          <w:sz w:val="30"/>
          <w:szCs w:val="30"/>
        </w:rPr>
        <w:t>，</w:t>
      </w:r>
      <w:r>
        <w:rPr>
          <w:rFonts w:ascii="仿宋" w:eastAsia="仿宋" w:hAnsi="仿宋" w:hint="eastAsia"/>
          <w:sz w:val="30"/>
          <w:szCs w:val="30"/>
        </w:rPr>
        <w:t>内蒙古兴益资产评估有限公司</w:t>
      </w:r>
      <w:r w:rsidR="00307C09" w:rsidRPr="002B6B96">
        <w:rPr>
          <w:rFonts w:ascii="仿宋" w:eastAsia="仿宋" w:hAnsi="仿宋" w:hint="eastAsia"/>
          <w:sz w:val="30"/>
          <w:szCs w:val="30"/>
        </w:rPr>
        <w:t>进行</w:t>
      </w:r>
      <w:r w:rsidR="00C42FF8">
        <w:rPr>
          <w:rFonts w:ascii="仿宋" w:eastAsia="仿宋" w:hAnsi="仿宋" w:hint="eastAsia"/>
          <w:sz w:val="30"/>
          <w:szCs w:val="30"/>
        </w:rPr>
        <w:t>了</w:t>
      </w:r>
      <w:r w:rsidR="00307C09" w:rsidRPr="002B6B96">
        <w:rPr>
          <w:rFonts w:ascii="仿宋" w:eastAsia="仿宋" w:hAnsi="仿宋" w:hint="eastAsia"/>
          <w:sz w:val="30"/>
          <w:szCs w:val="30"/>
        </w:rPr>
        <w:t>本次</w:t>
      </w:r>
      <w:r>
        <w:rPr>
          <w:rFonts w:ascii="仿宋" w:eastAsia="仿宋" w:hAnsi="仿宋" w:hint="eastAsia"/>
          <w:sz w:val="30"/>
          <w:szCs w:val="30"/>
        </w:rPr>
        <w:t>拟处置单项资产</w:t>
      </w:r>
      <w:r w:rsidR="00307C09" w:rsidRPr="002B6B96">
        <w:rPr>
          <w:rFonts w:ascii="仿宋" w:eastAsia="仿宋" w:hAnsi="仿宋"/>
          <w:sz w:val="30"/>
          <w:szCs w:val="30"/>
        </w:rPr>
        <w:t>价值</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C42FF8">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736"/>
      </w:tblGrid>
      <w:tr w:rsidR="00307C09" w:rsidRPr="00475A6C" w:rsidTr="00217872">
        <w:trPr>
          <w:trHeight w:val="398"/>
          <w:jc w:val="center"/>
        </w:trPr>
        <w:tc>
          <w:tcPr>
            <w:tcW w:w="1598" w:type="dxa"/>
            <w:shd w:val="clear" w:color="auto" w:fill="auto"/>
          </w:tcPr>
          <w:p w:rsidR="00307C09" w:rsidRPr="00475A6C" w:rsidRDefault="00307C09" w:rsidP="00C16968">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924" w:type="dxa"/>
            <w:shd w:val="clear" w:color="auto" w:fill="auto"/>
            <w:vAlign w:val="center"/>
          </w:tcPr>
          <w:p w:rsidR="00307C09" w:rsidRPr="00217872" w:rsidRDefault="00C16968" w:rsidP="00262B10">
            <w:pPr>
              <w:widowControl/>
              <w:jc w:val="left"/>
            </w:pPr>
            <w:r>
              <w:rPr>
                <w:rFonts w:hint="eastAsia"/>
              </w:rPr>
              <w:t>中盐吉兰泰盐化集团有限公司拟处置报废资产所涉及的中盐吉兰泰盐化集团有限公司单项资产价值资产评估报告</w:t>
            </w:r>
          </w:p>
        </w:tc>
      </w:tr>
      <w:tr w:rsidR="00307C09" w:rsidRPr="00475A6C" w:rsidTr="00217872">
        <w:trPr>
          <w:jc w:val="center"/>
        </w:trPr>
        <w:tc>
          <w:tcPr>
            <w:tcW w:w="1598" w:type="dxa"/>
            <w:shd w:val="clear" w:color="auto" w:fill="auto"/>
          </w:tcPr>
          <w:p w:rsidR="00307C09" w:rsidRPr="00475A6C" w:rsidRDefault="00307C09" w:rsidP="00BD636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924" w:type="dxa"/>
            <w:shd w:val="clear" w:color="auto" w:fill="auto"/>
            <w:vAlign w:val="center"/>
          </w:tcPr>
          <w:p w:rsidR="00307C09" w:rsidRPr="00217872" w:rsidRDefault="00126E3D" w:rsidP="00262B10">
            <w:pPr>
              <w:widowControl/>
              <w:jc w:val="left"/>
            </w:pPr>
            <w:r>
              <w:rPr>
                <w:rFonts w:hint="eastAsia"/>
              </w:rPr>
              <w:t>内兴益评报字（</w:t>
            </w:r>
            <w:r>
              <w:rPr>
                <w:rFonts w:hint="eastAsia"/>
              </w:rPr>
              <w:t>2</w:t>
            </w:r>
            <w:r>
              <w:t>019</w:t>
            </w:r>
            <w:r>
              <w:rPr>
                <w:rFonts w:hint="eastAsia"/>
              </w:rPr>
              <w:t>）</w:t>
            </w:r>
            <w:r w:rsidR="00A26667" w:rsidRPr="00A26667">
              <w:rPr>
                <w:rFonts w:hint="eastAsia"/>
              </w:rPr>
              <w:t>第</w:t>
            </w:r>
            <w:r>
              <w:t>00</w:t>
            </w:r>
            <w:r w:rsidR="00262B10">
              <w:t>3</w:t>
            </w:r>
            <w:r w:rsidR="00A26667" w:rsidRPr="00A26667">
              <w:rPr>
                <w:rFonts w:hint="eastAsia"/>
              </w:rPr>
              <w:t>号</w:t>
            </w:r>
          </w:p>
        </w:tc>
      </w:tr>
      <w:tr w:rsidR="00307C09" w:rsidRPr="00475A6C" w:rsidTr="00217872">
        <w:trPr>
          <w:jc w:val="center"/>
        </w:trPr>
        <w:tc>
          <w:tcPr>
            <w:tcW w:w="1598" w:type="dxa"/>
            <w:shd w:val="clear" w:color="auto" w:fill="auto"/>
          </w:tcPr>
          <w:p w:rsidR="00307C09" w:rsidRPr="00475A6C" w:rsidRDefault="00A26667" w:rsidP="00A26667">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委托方</w:t>
            </w:r>
          </w:p>
        </w:tc>
        <w:tc>
          <w:tcPr>
            <w:tcW w:w="6924" w:type="dxa"/>
            <w:shd w:val="clear" w:color="auto" w:fill="auto"/>
            <w:vAlign w:val="center"/>
          </w:tcPr>
          <w:p w:rsidR="00307C09" w:rsidRPr="00217872" w:rsidRDefault="00126E3D" w:rsidP="00262B10">
            <w:pPr>
              <w:widowControl/>
              <w:jc w:val="left"/>
            </w:pPr>
            <w:r w:rsidRPr="00126E3D">
              <w:rPr>
                <w:rFonts w:hint="eastAsia"/>
              </w:rPr>
              <w:t>中盐吉兰泰盐化集团有限公司</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924" w:type="dxa"/>
            <w:shd w:val="clear" w:color="auto" w:fill="auto"/>
            <w:vAlign w:val="center"/>
          </w:tcPr>
          <w:p w:rsidR="00307C09" w:rsidRPr="00217872" w:rsidRDefault="00EA73AC" w:rsidP="00126E3D">
            <w:pPr>
              <w:widowControl/>
              <w:jc w:val="left"/>
            </w:pPr>
            <w:r w:rsidRPr="00EA73AC">
              <w:rPr>
                <w:rFonts w:hint="eastAsia"/>
              </w:rPr>
              <w:t>本评估报告</w:t>
            </w:r>
            <w:r w:rsidR="00126E3D">
              <w:rPr>
                <w:rFonts w:hint="eastAsia"/>
              </w:rPr>
              <w:t>只能用于评估报告载明的评估目的和用途，只能由评估报告载明的评估报告使用者使用，未征得资产评估机构同意，资产评估报告的内容不得被摘抄、引用或者披露于公开媒体</w:t>
            </w:r>
          </w:p>
        </w:tc>
      </w:tr>
      <w:tr w:rsidR="00307C09" w:rsidRPr="00475A6C" w:rsidTr="00217872">
        <w:trPr>
          <w:jc w:val="center"/>
        </w:trPr>
        <w:tc>
          <w:tcPr>
            <w:tcW w:w="1598" w:type="dxa"/>
            <w:shd w:val="clear" w:color="auto" w:fill="auto"/>
          </w:tcPr>
          <w:p w:rsidR="00307C09" w:rsidRPr="00475A6C" w:rsidRDefault="00307C09" w:rsidP="00126E3D">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924" w:type="dxa"/>
            <w:shd w:val="clear" w:color="auto" w:fill="auto"/>
            <w:vAlign w:val="center"/>
          </w:tcPr>
          <w:p w:rsidR="00307C09" w:rsidRPr="00217872" w:rsidRDefault="00A5342A" w:rsidP="00262B10">
            <w:pPr>
              <w:widowControl/>
              <w:jc w:val="left"/>
            </w:pPr>
            <w:r w:rsidRPr="00217872">
              <w:rPr>
                <w:rFonts w:hint="eastAsia"/>
              </w:rPr>
              <w:t>根据</w:t>
            </w:r>
            <w:r w:rsidR="00126E3D">
              <w:rPr>
                <w:rFonts w:hint="eastAsia"/>
              </w:rPr>
              <w:t>中盐吉兰泰盐化集团有限公司《十月份总经理办公会会议纪要》</w:t>
            </w:r>
            <w:r w:rsidR="00126E3D" w:rsidRPr="00126E3D">
              <w:rPr>
                <w:rFonts w:hint="eastAsia"/>
              </w:rPr>
              <w:t>〔</w:t>
            </w:r>
            <w:r w:rsidR="00126E3D">
              <w:rPr>
                <w:rFonts w:hint="eastAsia"/>
              </w:rPr>
              <w:t>纪要（</w:t>
            </w:r>
            <w:r w:rsidR="00126E3D">
              <w:rPr>
                <w:rFonts w:hint="eastAsia"/>
              </w:rPr>
              <w:t>2</w:t>
            </w:r>
            <w:r w:rsidR="00126E3D">
              <w:t>017</w:t>
            </w:r>
            <w:r w:rsidR="00126E3D">
              <w:rPr>
                <w:rFonts w:hint="eastAsia"/>
              </w:rPr>
              <w:t>）</w:t>
            </w:r>
            <w:r w:rsidR="00126E3D">
              <w:rPr>
                <w:rFonts w:hint="eastAsia"/>
              </w:rPr>
              <w:t>5</w:t>
            </w:r>
            <w:r w:rsidR="00126E3D">
              <w:t>5</w:t>
            </w:r>
            <w:r w:rsidR="00126E3D">
              <w:t>号</w:t>
            </w:r>
            <w:r w:rsidR="00126E3D" w:rsidRPr="00126E3D">
              <w:rPr>
                <w:rFonts w:hint="eastAsia"/>
              </w:rPr>
              <w:t>〕</w:t>
            </w:r>
            <w:r w:rsidR="00126E3D">
              <w:rPr>
                <w:rFonts w:hint="eastAsia"/>
              </w:rPr>
              <w:t>，中盐吉兰泰盐化集团有限公司拟对报废资产进行处置</w:t>
            </w:r>
          </w:p>
        </w:tc>
      </w:tr>
      <w:tr w:rsidR="00307C09" w:rsidRPr="00475A6C" w:rsidTr="00217872">
        <w:trPr>
          <w:jc w:val="center"/>
        </w:trPr>
        <w:tc>
          <w:tcPr>
            <w:tcW w:w="1598" w:type="dxa"/>
            <w:shd w:val="clear" w:color="auto" w:fill="auto"/>
          </w:tcPr>
          <w:p w:rsidR="00307C09" w:rsidRPr="00475A6C" w:rsidRDefault="00307C09" w:rsidP="00BD6369">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924" w:type="dxa"/>
            <w:shd w:val="clear" w:color="auto" w:fill="auto"/>
            <w:vAlign w:val="center"/>
          </w:tcPr>
          <w:p w:rsidR="00307C09" w:rsidRPr="00217872" w:rsidRDefault="00646743" w:rsidP="00262B10">
            <w:pPr>
              <w:widowControl/>
              <w:jc w:val="left"/>
            </w:pPr>
            <w:r w:rsidRPr="00646743">
              <w:rPr>
                <w:rFonts w:hint="eastAsia"/>
              </w:rPr>
              <w:t>本次评估目的是</w:t>
            </w:r>
            <w:r w:rsidR="00126E3D">
              <w:rPr>
                <w:rFonts w:hint="eastAsia"/>
              </w:rPr>
              <w:t>确定中盐吉兰泰盐化集团有限公司</w:t>
            </w:r>
            <w:r w:rsidR="00FA2FC5">
              <w:rPr>
                <w:rFonts w:hint="eastAsia"/>
              </w:rPr>
              <w:t>拟处置报废资产所涉及的单项资产于评估基准日</w:t>
            </w:r>
            <w:r w:rsidR="00FA2FC5">
              <w:rPr>
                <w:rFonts w:hint="eastAsia"/>
              </w:rPr>
              <w:t>2</w:t>
            </w:r>
            <w:r w:rsidR="00FA2FC5">
              <w:t>019</w:t>
            </w:r>
            <w:r w:rsidR="00FA2FC5">
              <w:t>年</w:t>
            </w:r>
            <w:r w:rsidR="00FA2FC5">
              <w:rPr>
                <w:rFonts w:hint="eastAsia"/>
              </w:rPr>
              <w:t>2</w:t>
            </w:r>
            <w:r w:rsidR="00FA2FC5">
              <w:rPr>
                <w:rFonts w:hint="eastAsia"/>
              </w:rPr>
              <w:t>月</w:t>
            </w:r>
            <w:r w:rsidR="00FA2FC5">
              <w:rPr>
                <w:rFonts w:hint="eastAsia"/>
              </w:rPr>
              <w:t>2</w:t>
            </w:r>
            <w:r w:rsidR="00FA2FC5">
              <w:t>8</w:t>
            </w:r>
            <w:r w:rsidR="00FA2FC5">
              <w:t>日的残余价值</w:t>
            </w:r>
            <w:r w:rsidR="00FA2FC5">
              <w:rPr>
                <w:rFonts w:hint="eastAsia"/>
              </w:rPr>
              <w:t>，</w:t>
            </w:r>
            <w:r w:rsidR="00FA2FC5">
              <w:t>为委托方实现上述经济行为提供价值参考依据</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924" w:type="dxa"/>
            <w:shd w:val="clear" w:color="auto" w:fill="auto"/>
            <w:vAlign w:val="center"/>
          </w:tcPr>
          <w:p w:rsidR="00307C09" w:rsidRPr="00217872" w:rsidRDefault="00646743" w:rsidP="00FA2FC5">
            <w:pPr>
              <w:widowControl/>
              <w:jc w:val="left"/>
            </w:pPr>
            <w:r w:rsidRPr="00646743">
              <w:rPr>
                <w:rFonts w:hint="eastAsia"/>
              </w:rPr>
              <w:t>201</w:t>
            </w:r>
            <w:r w:rsidR="00FA2FC5">
              <w:t>9</w:t>
            </w:r>
            <w:r w:rsidR="00FA2FC5">
              <w:t>年</w:t>
            </w:r>
            <w:r w:rsidR="00FA2FC5">
              <w:rPr>
                <w:rFonts w:hint="eastAsia"/>
              </w:rPr>
              <w:t>2</w:t>
            </w:r>
            <w:r w:rsidR="00FA2FC5">
              <w:rPr>
                <w:rFonts w:hint="eastAsia"/>
              </w:rPr>
              <w:t>月</w:t>
            </w:r>
            <w:r w:rsidR="00FA2FC5">
              <w:rPr>
                <w:rFonts w:hint="eastAsia"/>
              </w:rPr>
              <w:t>2</w:t>
            </w:r>
            <w:r w:rsidR="00FA2FC5">
              <w:t>8</w:t>
            </w:r>
            <w:r w:rsidR="00FA2FC5">
              <w:t>日</w:t>
            </w:r>
          </w:p>
        </w:tc>
      </w:tr>
      <w:tr w:rsidR="00307C09" w:rsidRPr="00475A6C" w:rsidTr="00B7091E">
        <w:trPr>
          <w:jc w:val="center"/>
        </w:trPr>
        <w:tc>
          <w:tcPr>
            <w:tcW w:w="1598" w:type="dxa"/>
            <w:shd w:val="clear" w:color="auto" w:fill="auto"/>
          </w:tcPr>
          <w:p w:rsidR="00307C09" w:rsidRPr="00475A6C" w:rsidRDefault="00307C09" w:rsidP="00646743">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924" w:type="dxa"/>
            <w:shd w:val="clear" w:color="auto" w:fill="auto"/>
          </w:tcPr>
          <w:p w:rsidR="00307C09" w:rsidRPr="00217872" w:rsidRDefault="00646743" w:rsidP="00262B10">
            <w:pPr>
              <w:widowControl/>
              <w:jc w:val="left"/>
            </w:pPr>
            <w:r w:rsidRPr="00646743">
              <w:rPr>
                <w:rFonts w:hint="eastAsia"/>
              </w:rPr>
              <w:t>本次资产评估对象为</w:t>
            </w:r>
            <w:r w:rsidR="00FA2FC5" w:rsidRPr="00FA2FC5">
              <w:rPr>
                <w:rFonts w:hint="eastAsia"/>
              </w:rPr>
              <w:t>中盐吉兰泰盐化集团有限公司</w:t>
            </w:r>
            <w:r w:rsidR="00FA2FC5">
              <w:rPr>
                <w:rFonts w:hint="eastAsia"/>
              </w:rPr>
              <w:t>所申报的单项资产</w:t>
            </w:r>
          </w:p>
        </w:tc>
      </w:tr>
      <w:tr w:rsidR="00307C09" w:rsidRPr="00475A6C" w:rsidTr="00B7091E">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924" w:type="dxa"/>
            <w:shd w:val="clear" w:color="auto" w:fill="auto"/>
          </w:tcPr>
          <w:p w:rsidR="00307C09" w:rsidRPr="00217872" w:rsidRDefault="00FA2FC5" w:rsidP="00475A6C">
            <w:pPr>
              <w:widowControl/>
              <w:jc w:val="left"/>
            </w:pPr>
            <w:r>
              <w:rPr>
                <w:rFonts w:hint="eastAsia"/>
              </w:rPr>
              <w:t>残余价值</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924" w:type="dxa"/>
            <w:shd w:val="clear" w:color="auto" w:fill="auto"/>
            <w:vAlign w:val="center"/>
          </w:tcPr>
          <w:p w:rsidR="00307C09" w:rsidRPr="00217872" w:rsidRDefault="00FA2FC5" w:rsidP="00646743">
            <w:pPr>
              <w:widowControl/>
              <w:jc w:val="left"/>
            </w:pPr>
            <w:r>
              <w:rPr>
                <w:rFonts w:hint="eastAsia"/>
              </w:rPr>
              <w:t>市场法</w:t>
            </w:r>
          </w:p>
        </w:tc>
      </w:tr>
      <w:tr w:rsidR="00307C09" w:rsidRPr="00475A6C" w:rsidTr="00217872">
        <w:trPr>
          <w:jc w:val="center"/>
        </w:trPr>
        <w:tc>
          <w:tcPr>
            <w:tcW w:w="1598" w:type="dxa"/>
            <w:shd w:val="clear" w:color="auto" w:fill="auto"/>
          </w:tcPr>
          <w:p w:rsidR="00BD6369" w:rsidRDefault="00BD6369" w:rsidP="00E70080">
            <w:pPr>
              <w:adjustRightInd w:val="0"/>
              <w:spacing w:line="300" w:lineRule="auto"/>
              <w:jc w:val="center"/>
              <w:textAlignment w:val="baseline"/>
              <w:rPr>
                <w:rFonts w:ascii="宋体" w:eastAsia="黑体" w:hAnsi="宋体"/>
                <w:kern w:val="0"/>
                <w:sz w:val="24"/>
                <w:szCs w:val="20"/>
              </w:rPr>
            </w:pPr>
          </w:p>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924" w:type="dxa"/>
            <w:shd w:val="clear" w:color="auto" w:fill="auto"/>
            <w:vAlign w:val="center"/>
          </w:tcPr>
          <w:p w:rsidR="00307C09" w:rsidRPr="00475A6C" w:rsidRDefault="00646743" w:rsidP="00262B10">
            <w:pPr>
              <w:widowControl/>
              <w:jc w:val="left"/>
            </w:pPr>
            <w:r w:rsidRPr="00646743">
              <w:rPr>
                <w:rFonts w:hint="eastAsia"/>
              </w:rPr>
              <w:t>经评估，</w:t>
            </w:r>
            <w:r w:rsidR="00FA2FC5">
              <w:rPr>
                <w:rFonts w:hint="eastAsia"/>
              </w:rPr>
              <w:t>在评估基准日资产非持续使用拆零变现前提下，中盐吉兰泰盐化集团有限公司纳入评估范围的报废固定资产—机器设备账面价值为</w:t>
            </w:r>
            <w:r w:rsidR="00262B10">
              <w:t>1.33</w:t>
            </w:r>
            <w:r w:rsidR="00FA2FC5">
              <w:t>万元</w:t>
            </w:r>
            <w:r w:rsidR="00FA2FC5">
              <w:rPr>
                <w:rFonts w:hint="eastAsia"/>
              </w:rPr>
              <w:t>，</w:t>
            </w:r>
            <w:r w:rsidR="00FA2FC5">
              <w:t>评估价值为</w:t>
            </w:r>
            <w:r w:rsidR="00262B10">
              <w:t>8.77</w:t>
            </w:r>
            <w:r w:rsidR="00FA2FC5">
              <w:t>万元</w:t>
            </w:r>
            <w:r w:rsidR="00FA2FC5">
              <w:rPr>
                <w:rFonts w:hint="eastAsia"/>
              </w:rPr>
              <w:t>，</w:t>
            </w:r>
            <w:r w:rsidR="00FA2FC5">
              <w:t>增值额为</w:t>
            </w:r>
            <w:r w:rsidR="00262B10">
              <w:t>7.44</w:t>
            </w:r>
            <w:r w:rsidR="00FA2FC5">
              <w:t>万元</w:t>
            </w:r>
            <w:r w:rsidR="00FA2FC5">
              <w:rPr>
                <w:rFonts w:hint="eastAsia"/>
              </w:rPr>
              <w:t>，</w:t>
            </w:r>
            <w:r w:rsidR="00FA2FC5">
              <w:t>增值率为</w:t>
            </w:r>
            <w:r w:rsidR="00262B10">
              <w:t>559.40</w:t>
            </w:r>
            <w:r w:rsidR="00FA2FC5">
              <w:rPr>
                <w:rFonts w:hint="eastAsia"/>
              </w:rPr>
              <w:t>%</w:t>
            </w:r>
          </w:p>
        </w:tc>
      </w:tr>
      <w:tr w:rsidR="00307C09" w:rsidRPr="00475A6C" w:rsidTr="00217872">
        <w:trPr>
          <w:jc w:val="center"/>
        </w:trPr>
        <w:tc>
          <w:tcPr>
            <w:tcW w:w="1598" w:type="dxa"/>
            <w:shd w:val="clear" w:color="auto" w:fill="auto"/>
          </w:tcPr>
          <w:p w:rsidR="00307C09" w:rsidRPr="00475A6C" w:rsidRDefault="00307C09" w:rsidP="00E70080">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924" w:type="dxa"/>
            <w:shd w:val="clear" w:color="auto" w:fill="auto"/>
            <w:vAlign w:val="center"/>
          </w:tcPr>
          <w:p w:rsidR="00307C09" w:rsidRPr="00217872" w:rsidRDefault="00646743" w:rsidP="00FA2FC5">
            <w:pPr>
              <w:widowControl/>
              <w:jc w:val="left"/>
            </w:pPr>
            <w:r w:rsidRPr="00646743">
              <w:rPr>
                <w:rFonts w:hint="eastAsia"/>
              </w:rPr>
              <w:t>本评估结论使用有效期为自评估基准日起</w:t>
            </w:r>
            <w:r w:rsidRPr="00646743">
              <w:rPr>
                <w:rFonts w:hint="eastAsia"/>
              </w:rPr>
              <w:t>1</w:t>
            </w:r>
            <w:r w:rsidRPr="00646743">
              <w:rPr>
                <w:rFonts w:hint="eastAsia"/>
              </w:rPr>
              <w:t>年，即从</w:t>
            </w:r>
            <w:r w:rsidRPr="00646743">
              <w:rPr>
                <w:rFonts w:hint="eastAsia"/>
              </w:rPr>
              <w:t>201</w:t>
            </w:r>
            <w:r w:rsidR="00FA2FC5">
              <w:t>9</w:t>
            </w:r>
            <w:r w:rsidRPr="00646743">
              <w:rPr>
                <w:rFonts w:hint="eastAsia"/>
              </w:rPr>
              <w:t>年</w:t>
            </w:r>
            <w:r w:rsidR="00FA2FC5">
              <w:t>2</w:t>
            </w:r>
            <w:r w:rsidRPr="00646743">
              <w:rPr>
                <w:rFonts w:hint="eastAsia"/>
              </w:rPr>
              <w:t>月</w:t>
            </w:r>
            <w:r w:rsidR="00FA2FC5">
              <w:t>28</w:t>
            </w:r>
            <w:r w:rsidRPr="00646743">
              <w:rPr>
                <w:rFonts w:hint="eastAsia"/>
              </w:rPr>
              <w:t>日至</w:t>
            </w:r>
            <w:r w:rsidRPr="00646743">
              <w:rPr>
                <w:rFonts w:hint="eastAsia"/>
              </w:rPr>
              <w:t>20</w:t>
            </w:r>
            <w:r w:rsidR="00FA2FC5">
              <w:t>20</w:t>
            </w:r>
            <w:r w:rsidRPr="00646743">
              <w:rPr>
                <w:rFonts w:hint="eastAsia"/>
              </w:rPr>
              <w:t>年</w:t>
            </w:r>
            <w:r w:rsidR="00FA2FC5">
              <w:t>2</w:t>
            </w:r>
            <w:r w:rsidRPr="00646743">
              <w:rPr>
                <w:rFonts w:hint="eastAsia"/>
              </w:rPr>
              <w:t>月</w:t>
            </w:r>
            <w:r w:rsidR="00FA2FC5">
              <w:t>27</w:t>
            </w:r>
            <w:r w:rsidRPr="00646743">
              <w:rPr>
                <w:rFonts w:hint="eastAsia"/>
              </w:rPr>
              <w:t>日止的期限内有效</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924" w:type="dxa"/>
            <w:shd w:val="clear" w:color="auto" w:fill="auto"/>
            <w:vAlign w:val="center"/>
          </w:tcPr>
          <w:p w:rsidR="00307C09" w:rsidRPr="00217872" w:rsidRDefault="00FA2FC5" w:rsidP="00FA2FC5">
            <w:pPr>
              <w:widowControl/>
              <w:jc w:val="left"/>
            </w:pPr>
            <w:r>
              <w:t>评估师</w:t>
            </w:r>
            <w:r>
              <w:rPr>
                <w:rFonts w:hint="eastAsia"/>
              </w:rPr>
              <w:t>：</w:t>
            </w:r>
            <w:r>
              <w:t>刘璐</w:t>
            </w:r>
            <w:r>
              <w:rPr>
                <w:rFonts w:hint="eastAsia"/>
              </w:rPr>
              <w:t>、李智强（登记编号：</w:t>
            </w:r>
            <w:r>
              <w:rPr>
                <w:rFonts w:hint="eastAsia"/>
              </w:rPr>
              <w:t>1</w:t>
            </w:r>
            <w:r>
              <w:t>5180007</w:t>
            </w:r>
            <w:r>
              <w:rPr>
                <w:rFonts w:hint="eastAsia"/>
              </w:rPr>
              <w:t>、</w:t>
            </w:r>
            <w:r>
              <w:rPr>
                <w:rFonts w:hint="eastAsia"/>
              </w:rPr>
              <w:t>1</w:t>
            </w:r>
            <w:r>
              <w:t>5120027</w:t>
            </w:r>
            <w:r>
              <w:rPr>
                <w:rFonts w:hint="eastAsia"/>
              </w:rPr>
              <w:t>）</w:t>
            </w:r>
            <w:r>
              <w:t xml:space="preserve"> </w:t>
            </w:r>
          </w:p>
        </w:tc>
      </w:tr>
    </w:tbl>
    <w:p w:rsidR="00BA2930" w:rsidRDefault="00BA2930" w:rsidP="00502CB8">
      <w:pPr>
        <w:spacing w:line="520" w:lineRule="exact"/>
        <w:rPr>
          <w:rFonts w:ascii="仿宋" w:eastAsia="仿宋" w:hAnsi="仿宋"/>
          <w:sz w:val="30"/>
          <w:szCs w:val="30"/>
        </w:rPr>
      </w:pPr>
    </w:p>
    <w:p w:rsidR="008C3DD9" w:rsidRPr="007A5CA2" w:rsidRDefault="008C3DD9" w:rsidP="00BA2930">
      <w:pPr>
        <w:spacing w:line="520" w:lineRule="exact"/>
        <w:ind w:firstLineChars="190" w:firstLine="570"/>
        <w:rPr>
          <w:rFonts w:ascii="仿宋" w:eastAsia="仿宋" w:hAnsi="仿宋"/>
          <w:sz w:val="30"/>
          <w:szCs w:val="30"/>
        </w:rPr>
      </w:pPr>
      <w:r w:rsidRPr="007A5CA2">
        <w:rPr>
          <w:rFonts w:ascii="仿宋" w:eastAsia="仿宋" w:hAnsi="仿宋" w:hint="eastAsia"/>
          <w:sz w:val="30"/>
          <w:szCs w:val="30"/>
        </w:rPr>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w:t>
      </w:r>
      <w:r w:rsidRPr="007A5CA2">
        <w:rPr>
          <w:rFonts w:ascii="仿宋" w:eastAsia="仿宋" w:hAnsi="仿宋" w:hint="eastAsia"/>
          <w:sz w:val="30"/>
          <w:szCs w:val="30"/>
        </w:rPr>
        <w:lastRenderedPageBreak/>
        <w:t>向</w:t>
      </w:r>
      <w:r w:rsidR="00502CB8">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502CB8">
        <w:rPr>
          <w:rFonts w:ascii="仿宋" w:eastAsia="仿宋" w:hAnsi="仿宋" w:hint="eastAsia"/>
          <w:sz w:val="30"/>
          <w:szCs w:val="30"/>
        </w:rPr>
        <w:t>陈翔</w:t>
      </w:r>
      <w:r w:rsidR="007A5CA2">
        <w:rPr>
          <w:rFonts w:ascii="仿宋" w:eastAsia="仿宋" w:hAnsi="仿宋" w:hint="eastAsia"/>
          <w:sz w:val="30"/>
          <w:szCs w:val="30"/>
        </w:rPr>
        <w:t xml:space="preserve">   010</w:t>
      </w:r>
      <w:r w:rsidR="00E537E7">
        <w:rPr>
          <w:rFonts w:ascii="仿宋" w:eastAsia="仿宋" w:hAnsi="仿宋" w:hint="eastAsia"/>
          <w:sz w:val="30"/>
          <w:szCs w:val="30"/>
        </w:rPr>
        <w:t>—</w:t>
      </w:r>
      <w:r w:rsidR="007A5CA2">
        <w:rPr>
          <w:rFonts w:ascii="仿宋" w:eastAsia="仿宋" w:hAnsi="仿宋" w:hint="eastAsia"/>
          <w:sz w:val="30"/>
          <w:szCs w:val="30"/>
        </w:rPr>
        <w:t>830</w:t>
      </w:r>
      <w:r w:rsidR="007A5CA2">
        <w:rPr>
          <w:rFonts w:ascii="仿宋" w:eastAsia="仿宋" w:hAnsi="仿宋"/>
          <w:sz w:val="30"/>
          <w:szCs w:val="30"/>
        </w:rPr>
        <w:t>63</w:t>
      </w:r>
      <w:r w:rsidR="007A5CA2">
        <w:rPr>
          <w:rFonts w:ascii="仿宋" w:eastAsia="仿宋" w:hAnsi="仿宋" w:hint="eastAsia"/>
          <w:sz w:val="30"/>
          <w:szCs w:val="30"/>
        </w:rPr>
        <w:t>9</w:t>
      </w:r>
      <w:r w:rsidR="00502CB8">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p>
    <w:p w:rsidR="008C3DD9" w:rsidRPr="007A5CA2" w:rsidRDefault="008C3DD9" w:rsidP="00BA2930">
      <w:pPr>
        <w:spacing w:line="520" w:lineRule="exact"/>
        <w:ind w:firstLineChars="1450" w:firstLine="4350"/>
        <w:rPr>
          <w:rFonts w:ascii="仿宋" w:eastAsia="仿宋" w:hAnsi="仿宋"/>
          <w:sz w:val="30"/>
          <w:szCs w:val="30"/>
        </w:rPr>
      </w:pPr>
    </w:p>
    <w:p w:rsidR="0070388B" w:rsidRPr="007A5CA2" w:rsidRDefault="0070388B" w:rsidP="00BA2930">
      <w:pPr>
        <w:spacing w:line="520" w:lineRule="exact"/>
        <w:ind w:firstLineChars="1450" w:firstLine="4350"/>
        <w:rPr>
          <w:rFonts w:ascii="仿宋" w:eastAsia="仿宋" w:hAnsi="仿宋"/>
          <w:sz w:val="30"/>
          <w:szCs w:val="30"/>
        </w:rPr>
      </w:pPr>
    </w:p>
    <w:p w:rsidR="000E2163" w:rsidRDefault="000E2163" w:rsidP="00BA2930">
      <w:pPr>
        <w:spacing w:line="520" w:lineRule="exact"/>
        <w:ind w:firstLineChars="1450" w:firstLine="4350"/>
        <w:rPr>
          <w:rFonts w:ascii="仿宋" w:eastAsia="仿宋" w:hAnsi="仿宋"/>
          <w:sz w:val="30"/>
          <w:szCs w:val="30"/>
        </w:rPr>
      </w:pPr>
    </w:p>
    <w:p w:rsidR="000E2163" w:rsidRPr="007A5CA2" w:rsidRDefault="00502CB8"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w:t>
      </w:r>
      <w:r w:rsidR="007A5CA2">
        <w:rPr>
          <w:rFonts w:ascii="仿宋" w:eastAsia="仿宋" w:hAnsi="仿宋"/>
          <w:sz w:val="30"/>
          <w:szCs w:val="30"/>
        </w:rPr>
        <w:t>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7C2347">
        <w:rPr>
          <w:rFonts w:ascii="仿宋" w:eastAsia="仿宋" w:hAnsi="仿宋"/>
          <w:sz w:val="30"/>
          <w:szCs w:val="30"/>
        </w:rPr>
        <w:t>5</w:t>
      </w:r>
      <w:r w:rsidRPr="007A5CA2">
        <w:rPr>
          <w:rFonts w:ascii="仿宋" w:eastAsia="仿宋" w:hAnsi="仿宋" w:hint="eastAsia"/>
          <w:sz w:val="30"/>
          <w:szCs w:val="30"/>
        </w:rPr>
        <w:t>月</w:t>
      </w:r>
      <w:r w:rsidR="007C2347">
        <w:rPr>
          <w:rFonts w:ascii="仿宋" w:eastAsia="仿宋" w:hAnsi="仿宋"/>
          <w:sz w:val="30"/>
          <w:szCs w:val="30"/>
        </w:rPr>
        <w:t>5</w:t>
      </w:r>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bookmarkStart w:id="0" w:name="_GoBack"/>
      <w:bookmarkEnd w:id="0"/>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A4" w:rsidRDefault="009726A4" w:rsidP="00812146">
      <w:r>
        <w:separator/>
      </w:r>
    </w:p>
  </w:endnote>
  <w:endnote w:type="continuationSeparator" w:id="0">
    <w:p w:rsidR="009726A4" w:rsidRDefault="009726A4"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A4" w:rsidRDefault="009726A4" w:rsidP="00812146">
      <w:r>
        <w:separator/>
      </w:r>
    </w:p>
  </w:footnote>
  <w:footnote w:type="continuationSeparator" w:id="0">
    <w:p w:rsidR="009726A4" w:rsidRDefault="009726A4"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E2163"/>
    <w:rsid w:val="00126E3D"/>
    <w:rsid w:val="00190E8D"/>
    <w:rsid w:val="00190E9F"/>
    <w:rsid w:val="001A2957"/>
    <w:rsid w:val="00217872"/>
    <w:rsid w:val="00237E32"/>
    <w:rsid w:val="00246899"/>
    <w:rsid w:val="00262B10"/>
    <w:rsid w:val="00272B12"/>
    <w:rsid w:val="002B6B96"/>
    <w:rsid w:val="002C49F0"/>
    <w:rsid w:val="00307C09"/>
    <w:rsid w:val="003879EF"/>
    <w:rsid w:val="00426555"/>
    <w:rsid w:val="00461E87"/>
    <w:rsid w:val="0046269E"/>
    <w:rsid w:val="00475A6C"/>
    <w:rsid w:val="00485E70"/>
    <w:rsid w:val="004D24F9"/>
    <w:rsid w:val="00502CB8"/>
    <w:rsid w:val="0052799E"/>
    <w:rsid w:val="00547992"/>
    <w:rsid w:val="00557B0D"/>
    <w:rsid w:val="005723FA"/>
    <w:rsid w:val="00646743"/>
    <w:rsid w:val="00656315"/>
    <w:rsid w:val="00671387"/>
    <w:rsid w:val="006752DC"/>
    <w:rsid w:val="006C4F6B"/>
    <w:rsid w:val="006E5956"/>
    <w:rsid w:val="006E619F"/>
    <w:rsid w:val="0070388B"/>
    <w:rsid w:val="007A5CA2"/>
    <w:rsid w:val="007C2347"/>
    <w:rsid w:val="007C34FD"/>
    <w:rsid w:val="00812146"/>
    <w:rsid w:val="00865AC2"/>
    <w:rsid w:val="008A1368"/>
    <w:rsid w:val="008C393D"/>
    <w:rsid w:val="008C3DD9"/>
    <w:rsid w:val="00931B2D"/>
    <w:rsid w:val="009726A4"/>
    <w:rsid w:val="00A02475"/>
    <w:rsid w:val="00A074CA"/>
    <w:rsid w:val="00A25FCA"/>
    <w:rsid w:val="00A26667"/>
    <w:rsid w:val="00A5342A"/>
    <w:rsid w:val="00AE3F3B"/>
    <w:rsid w:val="00B2226C"/>
    <w:rsid w:val="00B5498A"/>
    <w:rsid w:val="00B56959"/>
    <w:rsid w:val="00BA2930"/>
    <w:rsid w:val="00BA4C79"/>
    <w:rsid w:val="00BD6369"/>
    <w:rsid w:val="00BE3B49"/>
    <w:rsid w:val="00C16968"/>
    <w:rsid w:val="00C42FF8"/>
    <w:rsid w:val="00D31CD5"/>
    <w:rsid w:val="00D35F10"/>
    <w:rsid w:val="00DB23D8"/>
    <w:rsid w:val="00DE574D"/>
    <w:rsid w:val="00E44285"/>
    <w:rsid w:val="00E537E7"/>
    <w:rsid w:val="00E70080"/>
    <w:rsid w:val="00EA4B54"/>
    <w:rsid w:val="00EA73AC"/>
    <w:rsid w:val="00ED1DC2"/>
    <w:rsid w:val="00EF4888"/>
    <w:rsid w:val="00FA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7C57-0B26-4959-9C8F-B3AC7DF4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4</cp:revision>
  <cp:lastPrinted>2019-04-16T02:38:00Z</cp:lastPrinted>
  <dcterms:created xsi:type="dcterms:W3CDTF">2019-04-30T06:44:00Z</dcterms:created>
  <dcterms:modified xsi:type="dcterms:W3CDTF">2019-05-05T01:55:00Z</dcterms:modified>
</cp:coreProperties>
</file>